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Oath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Bdr>
          <w:bottom w:val="single" w:sz="6" w:space="1" w:color="999999"/>
        </w:pBdr>
      </w:pPr>
    </w:p>
    <w:p>
      <w:r>
        <w:t xml:space="preserve">&lt;div align="center"&gt;</w:t>
      </w:r>
    </w:p>
    <w:p>
      <w:pPr>
        <w:pStyle w:val="Heading2"/>
      </w:pPr>
      <w:r>
        <w:t>Management Commitment Statement</w:t>
      </w:r>
    </w:p>
    <w:p>
      <w:pPr>
        <w:pStyle w:val="Heading3"/>
      </w:pPr>
      <w:r>
        <w:t>Acme Inc</w:t>
      </w:r>
    </w:p>
    <w:p>
      <w:r>
        <w:t xml:space="preserve">Document ID: OATH-20260319-NEXTJSSAASEX</w:t>
      </w:r>
    </w:p>
    <w:p>
      <w:r>
        <w:t xml:space="preserve">Effective Date: 2026-03-19</w:t>
      </w:r>
    </w:p>
    <w:p>
      <w:r>
        <w:t xml:space="preserve">Project: nextjs-saas-example</w:t>
      </w:r>
    </w:p>
    <w:p>
      <w:r>
        <w:t xml:space="preserve">&lt;/div&gt;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**Important:** This document is a statement of management commitment to information security and data protection compliance. It should be reviewed by legal counsel, signed by authorized executives, and maintained as a controlled document. This template is auto-generated and must be customized to reflect your organization's specific commitments.</w:t>
      </w:r>
    </w:p>
    <w:p>
      <w:pPr>
        <w:pStyle w:val="Heading2"/>
      </w:pPr>
      <w:r>
        <w:t>1. Purpose</w:t>
      </w:r>
    </w:p>
    <w:p>
      <w:r>
        <w:t xml:space="preserve">This Compliance Oath establishes the commitment of Acme Inc's senior management to:</w:t>
      </w:r>
    </w:p>
    <w:p>
      <w:pPr>
        <w:pStyle w:val="ListParagraph"/>
        <w:numPr>
          <w:ilvl w:val="0"/>
          <w:numId w:val="1"/>
        </w:numPr>
      </w:pPr>
      <w:r>
        <w:t xml:space="preserve">Maintaining an effective information security management system (ISMS)</w:t>
      </w:r>
    </w:p>
    <w:p>
      <w:pPr>
        <w:pStyle w:val="ListParagraph"/>
        <w:numPr>
          <w:ilvl w:val="0"/>
          <w:numId w:val="1"/>
        </w:numPr>
      </w:pPr>
      <w:r>
        <w:t xml:space="preserve">Protecting the personal data of our users, customers, employees, and partners</w:t>
      </w:r>
    </w:p>
    <w:p>
      <w:pPr>
        <w:pStyle w:val="ListParagraph"/>
        <w:numPr>
          <w:ilvl w:val="0"/>
          <w:numId w:val="1"/>
        </w:numPr>
      </w:pPr>
      <w:r>
        <w:t xml:space="preserve">Complying with all applicable data protection and privacy regulations</w:t>
      </w:r>
    </w:p>
    <w:p>
      <w:pPr>
        <w:pStyle w:val="ListParagraph"/>
        <w:numPr>
          <w:ilvl w:val="0"/>
          <w:numId w:val="1"/>
        </w:numPr>
      </w:pPr>
      <w:r>
        <w:t xml:space="preserve">Fostering a culture of security and privacy awareness throughout the organization</w:t>
      </w:r>
    </w:p>
    <w:p>
      <w:pPr>
        <w:pStyle w:val="ListParagraph"/>
        <w:numPr>
          <w:ilvl w:val="0"/>
          <w:numId w:val="1"/>
        </w:numPr>
      </w:pPr>
      <w:r>
        <w:t xml:space="preserve">Allocating adequate resources for compliance activities</w:t>
      </w:r>
    </w:p>
    <w:p>
      <w:pPr>
        <w:pStyle w:val="Heading2"/>
      </w:pPr>
      <w:r>
        <w:t>2. Scope</w:t>
      </w:r>
    </w:p>
    <w:p>
      <w:r>
        <w:t xml:space="preserve">This commitment applies to:</w:t>
      </w:r>
    </w:p>
    <w:p>
      <w:pPr>
        <w:pStyle w:val="ListParagraph"/>
        <w:numPr>
          <w:ilvl w:val="0"/>
          <w:numId w:val="1"/>
        </w:numPr>
      </w:pPr>
      <w:r>
        <w:t xml:space="preserve">**Project:** nextjs-saas-example</w:t>
      </w:r>
    </w:p>
    <w:p>
      <w:pPr>
        <w:pStyle w:val="ListParagraph"/>
        <w:numPr>
          <w:ilvl w:val="0"/>
          <w:numId w:val="1"/>
        </w:numPr>
      </w:pPr>
      <w:r>
        <w:t xml:space="preserve">**Services covered:** 8 third-party services across 7 categories</w:t>
      </w:r>
    </w:p>
    <w:p>
      <w:pPr>
        <w:pStyle w:val="ListParagraph"/>
        <w:numPr>
          <w:ilvl w:val="0"/>
          <w:numId w:val="1"/>
        </w:numPr>
      </w:pPr>
      <w:r>
        <w:t xml:space="preserve">**Service categories:** monitoring, auth, ai, analytics, database, email, payment</w:t>
      </w:r>
    </w:p>
    <w:p>
      <w:pPr>
        <w:pStyle w:val="ListParagraph"/>
        <w:numPr>
          <w:ilvl w:val="0"/>
          <w:numId w:val="1"/>
        </w:numPr>
      </w:pPr>
      <w:r>
        <w:t xml:space="preserve">**Jurisdictions:** EU, US-CA, US-VA, UK</w:t>
      </w:r>
    </w:p>
    <w:p>
      <w:pPr>
        <w:pStyle w:val="ListParagraph"/>
        <w:numPr>
          <w:ilvl w:val="0"/>
          <w:numId w:val="1"/>
        </w:numPr>
      </w:pPr>
      <w:r>
        <w:t xml:space="preserve">**All employees, contractors, and third parties** with access to systems or data</w:t>
      </w:r>
    </w:p>
    <w:p>
      <w:pPr>
        <w:pStyle w:val="Heading2"/>
      </w:pPr>
      <w:r>
        <w:t>3. Management Commitment</w:t>
      </w:r>
    </w:p>
    <w:p>
      <w:r>
        <w:t xml:space="preserve">The senior leadership of Acme Inc hereby commits to the following:</w:t>
      </w:r>
    </w:p>
    <w:p>
      <w:pPr>
        <w:pStyle w:val="Heading3"/>
      </w:pPr>
      <w:r>
        <w:t>3.1 Information Security (ISO 27001 Clause 5.1)</w:t>
      </w:r>
    </w:p>
    <w:p>
      <w:pPr>
        <w:pStyle w:val="ListParagraph"/>
        <w:numPr>
          <w:ilvl w:val="0"/>
          <w:numId w:val="1"/>
        </w:numPr>
      </w:pPr>
      <w:r>
        <w:t xml:space="preserve">**Leadership and Direction:** Ensuring the information security policy and objectives are established and compatible with the strategic direction of the organization</w:t>
      </w:r>
    </w:p>
    <w:p>
      <w:pPr>
        <w:pStyle w:val="ListParagraph"/>
        <w:numPr>
          <w:ilvl w:val="0"/>
          <w:numId w:val="1"/>
        </w:numPr>
      </w:pPr>
      <w:r>
        <w:t xml:space="preserve">**Integration:** Ensuring information security requirements are integrated into the organization's processes</w:t>
      </w:r>
    </w:p>
    <w:p>
      <w:pPr>
        <w:pStyle w:val="ListParagraph"/>
        <w:numPr>
          <w:ilvl w:val="0"/>
          <w:numId w:val="1"/>
        </w:numPr>
      </w:pPr>
      <w:r>
        <w:t xml:space="preserve">**Resources:** Ensuring adequate resources are available for the ISMS</w:t>
      </w:r>
    </w:p>
    <w:p>
      <w:pPr>
        <w:pStyle w:val="ListParagraph"/>
        <w:numPr>
          <w:ilvl w:val="0"/>
          <w:numId w:val="1"/>
        </w:numPr>
      </w:pPr>
      <w:r>
        <w:t xml:space="preserve">**Communication:** Communicating the importance of effective information security management</w:t>
      </w:r>
    </w:p>
    <w:p>
      <w:pPr>
        <w:pStyle w:val="ListParagraph"/>
        <w:numPr>
          <w:ilvl w:val="0"/>
          <w:numId w:val="1"/>
        </w:numPr>
      </w:pPr>
      <w:r>
        <w:t xml:space="preserve">**Outcomes:** Ensuring the ISMS achieves its intended outcomes</w:t>
      </w:r>
    </w:p>
    <w:p>
      <w:pPr>
        <w:pStyle w:val="ListParagraph"/>
        <w:numPr>
          <w:ilvl w:val="0"/>
          <w:numId w:val="1"/>
        </w:numPr>
      </w:pPr>
      <w:r>
        <w:t xml:space="preserve">**Continual Improvement:** Directing and supporting persons to contribute to the effectiveness of the ISMS</w:t>
      </w:r>
    </w:p>
    <w:p>
      <w:pPr>
        <w:pStyle w:val="Heading3"/>
      </w:pPr>
      <w:r>
        <w:t>3.2 Data Protection (GDPR Art. 5(2) Accountability)</w:t>
      </w:r>
    </w:p>
    <w:p>
      <w:pPr>
        <w:pStyle w:val="ListParagraph"/>
        <w:numPr>
          <w:ilvl w:val="0"/>
          <w:numId w:val="1"/>
        </w:numPr>
      </w:pPr>
      <w:r>
        <w:t xml:space="preserve">**Lawful Processing:** Ensuring all personal data processing has a valid legal basis</w:t>
      </w:r>
    </w:p>
    <w:p>
      <w:pPr>
        <w:pStyle w:val="ListParagraph"/>
        <w:numPr>
          <w:ilvl w:val="0"/>
          <w:numId w:val="1"/>
        </w:numPr>
      </w:pPr>
      <w:r>
        <w:t xml:space="preserve">**Transparency:** Maintaining clear and accessible privacy notices for all data subjects</w:t>
      </w:r>
    </w:p>
    <w:p>
      <w:pPr>
        <w:pStyle w:val="ListParagraph"/>
        <w:numPr>
          <w:ilvl w:val="0"/>
          <w:numId w:val="1"/>
        </w:numPr>
      </w:pPr>
      <w:r>
        <w:t xml:space="preserve">**Data Minimization:** Collecting only the data necessary for specified purposes</w:t>
      </w:r>
    </w:p>
    <w:p>
      <w:pPr>
        <w:pStyle w:val="ListParagraph"/>
        <w:numPr>
          <w:ilvl w:val="0"/>
          <w:numId w:val="1"/>
        </w:numPr>
      </w:pPr>
      <w:r>
        <w:t xml:space="preserve">**Accuracy:** Taking reasonable steps to ensure personal data is accurate and up to date</w:t>
      </w:r>
    </w:p>
    <w:p>
      <w:pPr>
        <w:pStyle w:val="ListParagraph"/>
        <w:numPr>
          <w:ilvl w:val="0"/>
          <w:numId w:val="1"/>
        </w:numPr>
      </w:pPr>
      <w:r>
        <w:t xml:space="preserve">**Storage Limitation:** Retaining personal data only for as long as necessary</w:t>
      </w:r>
    </w:p>
    <w:p>
      <w:pPr>
        <w:pStyle w:val="ListParagraph"/>
        <w:numPr>
          <w:ilvl w:val="0"/>
          <w:numId w:val="1"/>
        </w:numPr>
      </w:pPr>
      <w:r>
        <w:t xml:space="preserve">**Integrity and Confidentiality:** Implementing appropriate technical and organizational measures to protect personal data</w:t>
      </w:r>
    </w:p>
    <w:p>
      <w:pPr>
        <w:pStyle w:val="ListParagraph"/>
        <w:numPr>
          <w:ilvl w:val="0"/>
          <w:numId w:val="1"/>
        </w:numPr>
      </w:pPr>
      <w:r>
        <w:t xml:space="preserve">**Accountability:** Being able to demonstrate compliance with all data protection principles</w:t>
      </w:r>
    </w:p>
    <w:p>
      <w:pPr>
        <w:pStyle w:val="Heading2"/>
      </w:pPr>
      <w:r>
        <w:t>4. Specific Commitments</w:t>
      </w:r>
    </w:p>
    <w:p>
      <w:pPr>
        <w:pStyle w:val="Heading3"/>
      </w:pPr>
      <w:r>
        <w:t>4.1 Governance</w:t>
      </w:r>
    </w:p>
    <w:p>
      <w:r>
        <w:rPr>
          <w:sz w:val="20"/>
        </w:rPr>
        <w:t xml:space="preserve">Commitment  |  Frequency  |  Responsible</w:t>
      </w:r>
    </w:p>
    <w:p>
      <w:r>
        <w:rPr>
          <w:sz w:val="20"/>
        </w:rPr>
        <w:t xml:space="preserve">Review and approve information security policy  |  Annually  |  CEO</w:t>
      </w:r>
    </w:p>
    <w:p>
      <w:r>
        <w:rPr>
          <w:sz w:val="20"/>
        </w:rPr>
        <w:t xml:space="preserve">Review compliance posture and risk register  |  Quarterly  |  CTO</w:t>
      </w:r>
    </w:p>
    <w:p>
      <w:r>
        <w:rPr>
          <w:sz w:val="20"/>
        </w:rPr>
        <w:t xml:space="preserve">Conduct management review of ISMS  |  Annually  |  CEO + CTO</w:t>
      </w:r>
    </w:p>
    <w:p>
      <w:r>
        <w:rPr>
          <w:sz w:val="20"/>
        </w:rPr>
        <w:t xml:space="preserve">Review and approve data processing activities  |  Annually  |  DPO</w:t>
      </w:r>
    </w:p>
    <w:p>
      <w:r>
        <w:rPr>
          <w:sz w:val="20"/>
        </w:rPr>
        <w:t xml:space="preserve">Audit third-party sub-processors  |  Annually  |  CTO</w:t>
      </w:r>
    </w:p>
    <w:p>
      <w:r>
        <w:rPr>
          <w:sz w:val="20"/>
        </w:rPr>
        <w:t xml:space="preserve">Review incident response readiness  |  Semi-annually  |  CTO</w:t>
      </w:r>
    </w:p>
    <w:p>
      <w:r>
        <w:rPr>
          <w:sz w:val="20"/>
        </w:rPr>
        <w:t xml:space="preserve">Approve compliance budget and resources  |  Annually  |  CEO</w:t>
      </w:r>
    </w:p>
    <w:p>
      <w:pPr>
        <w:pStyle w:val="Heading3"/>
      </w:pPr>
      <w:r>
        <w:t>4.2 Resource Allocation</w:t>
      </w:r>
    </w:p>
    <w:p>
      <w:r>
        <w:t xml:space="preserve">Management commits to providing:</w:t>
      </w:r>
    </w:p>
    <w:p>
      <w:pPr>
        <w:pStyle w:val="ListParagraph"/>
        <w:numPr>
          <w:ilvl w:val="0"/>
          <w:numId w:val="1"/>
        </w:numPr>
      </w:pPr>
      <w:r>
        <w:t xml:space="preserve">**Personnel:** Dedicated compliance/security resources appropriate to organization size</w:t>
      </w:r>
    </w:p>
    <w:p>
      <w:pPr>
        <w:pStyle w:val="ListParagraph"/>
        <w:numPr>
          <w:ilvl w:val="0"/>
          <w:numId w:val="1"/>
        </w:numPr>
      </w:pPr>
      <w:r>
        <w:t xml:space="preserve">**Training:** Annual security awareness training for all staff</w:t>
      </w:r>
    </w:p>
    <w:p>
      <w:pPr>
        <w:pStyle w:val="ListParagraph"/>
        <w:numPr>
          <w:ilvl w:val="0"/>
          <w:numId w:val="1"/>
        </w:numPr>
      </w:pPr>
      <w:r>
        <w:t xml:space="preserve">**Tools:** Industry-standard security and compliance tools</w:t>
      </w:r>
    </w:p>
    <w:p>
      <w:pPr>
        <w:pStyle w:val="ListParagraph"/>
        <w:numPr>
          <w:ilvl w:val="0"/>
          <w:numId w:val="1"/>
        </w:numPr>
      </w:pPr>
      <w:r>
        <w:t xml:space="preserve">**External Support:** Budget for legal counsel, auditors, and consultants as needed</w:t>
      </w:r>
    </w:p>
    <w:p>
      <w:pPr>
        <w:pStyle w:val="ListParagraph"/>
        <w:numPr>
          <w:ilvl w:val="0"/>
          <w:numId w:val="1"/>
        </w:numPr>
      </w:pPr>
      <w:r>
        <w:t xml:space="preserve">**Incident Response:** Resources for 24/7 incident response capability</w:t>
      </w:r>
    </w:p>
    <w:p>
      <w:pPr>
        <w:pStyle w:val="Heading3"/>
      </w:pPr>
      <w:r>
        <w:t>4.3 Service-Specific Commitments</w:t>
      </w:r>
    </w:p>
    <w:p>
      <w:pPr>
        <w:pStyle w:val="Heading4"/>
      </w:pPr>
      <w:r>
        <w:t>AI Systems</w:t>
      </w:r>
    </w:p>
    <w:p>
      <w:pPr>
        <w:pStyle w:val="ListParagraph"/>
        <w:numPr>
          <w:ilvl w:val="0"/>
          <w:numId w:val="1"/>
        </w:numPr>
      </w:pPr>
      <w:r>
        <w:t xml:space="preserve">Maintain an AI governance framework aligned with the EU AI Act</w:t>
      </w:r>
    </w:p>
    <w:p>
      <w:pPr>
        <w:pStyle w:val="ListParagraph"/>
        <w:numPr>
          <w:ilvl w:val="0"/>
          <w:numId w:val="1"/>
        </w:numPr>
      </w:pPr>
      <w:r>
        <w:t xml:space="preserve">Conduct AI impact assessments for all AI-powered features</w:t>
      </w:r>
    </w:p>
    <w:p>
      <w:pPr>
        <w:pStyle w:val="ListParagraph"/>
        <w:numPr>
          <w:ilvl w:val="0"/>
          <w:numId w:val="1"/>
        </w:numPr>
      </w:pPr>
      <w:r>
        <w:t xml:space="preserve">Ensure transparency in AI decision-making processes</w:t>
      </w:r>
    </w:p>
    <w:p>
      <w:pPr>
        <w:pStyle w:val="ListParagraph"/>
        <w:numPr>
          <w:ilvl w:val="0"/>
          <w:numId w:val="1"/>
        </w:numPr>
      </w:pPr>
      <w:r>
        <w:t xml:space="preserve">Provide human oversight mechanisms for automated decisions</w:t>
      </w:r>
    </w:p>
    <w:p>
      <w:pPr>
        <w:pStyle w:val="ListParagraph"/>
        <w:numPr>
          <w:ilvl w:val="0"/>
          <w:numId w:val="1"/>
        </w:numPr>
      </w:pPr>
      <w:r>
        <w:t xml:space="preserve">Review AI model cards and training data practices quarterly</w:t>
      </w:r>
    </w:p>
    <w:p>
      <w:pPr>
        <w:pStyle w:val="Heading4"/>
      </w:pPr>
      <w:r>
        <w:t>Payment Processing</w:t>
      </w:r>
    </w:p>
    <w:p>
      <w:pPr>
        <w:pStyle w:val="ListParagraph"/>
        <w:numPr>
          <w:ilvl w:val="0"/>
          <w:numId w:val="1"/>
        </w:numPr>
      </w:pPr>
      <w:r>
        <w:t xml:space="preserve">Maintain PCI DSS compliance for all payment operations</w:t>
      </w:r>
    </w:p>
    <w:p>
      <w:pPr>
        <w:pStyle w:val="ListParagraph"/>
        <w:numPr>
          <w:ilvl w:val="0"/>
          <w:numId w:val="1"/>
        </w:numPr>
      </w:pPr>
      <w:r>
        <w:t xml:space="preserve">Never store raw credit card data on our systems</w:t>
      </w:r>
    </w:p>
    <w:p>
      <w:pPr>
        <w:pStyle w:val="ListParagraph"/>
        <w:numPr>
          <w:ilvl w:val="0"/>
          <w:numId w:val="1"/>
        </w:numPr>
      </w:pPr>
      <w:r>
        <w:t xml:space="preserve">Conduct quarterly vulnerability scans on payment-related systems</w:t>
      </w:r>
    </w:p>
    <w:p>
      <w:pPr>
        <w:pStyle w:val="ListParagraph"/>
        <w:numPr>
          <w:ilvl w:val="0"/>
          <w:numId w:val="1"/>
        </w:numPr>
      </w:pPr>
      <w:r>
        <w:t xml:space="preserve">Review payment processor agreements and DPAs annually</w:t>
      </w:r>
    </w:p>
    <w:p>
      <w:pPr>
        <w:pStyle w:val="Heading4"/>
      </w:pPr>
      <w:r>
        <w:t>Analytics and Tracking</w:t>
      </w:r>
    </w:p>
    <w:p>
      <w:pPr>
        <w:pStyle w:val="ListParagraph"/>
        <w:numPr>
          <w:ilvl w:val="0"/>
          <w:numId w:val="1"/>
        </w:numPr>
      </w:pPr>
      <w:r>
        <w:t xml:space="preserve">Implement proper consent mechanisms before collecting analytics data</w:t>
      </w:r>
    </w:p>
    <w:p>
      <w:pPr>
        <w:pStyle w:val="ListParagraph"/>
        <w:numPr>
          <w:ilvl w:val="0"/>
          <w:numId w:val="1"/>
        </w:numPr>
      </w:pPr>
      <w:r>
        <w:t xml:space="preserve">Minimize data collection to what is strictly necessary</w:t>
      </w:r>
    </w:p>
    <w:p>
      <w:pPr>
        <w:pStyle w:val="ListParagraph"/>
        <w:numPr>
          <w:ilvl w:val="0"/>
          <w:numId w:val="1"/>
        </w:numPr>
      </w:pPr>
      <w:r>
        <w:t xml:space="preserve">Review analytics data retention policies quarterly</w:t>
      </w:r>
    </w:p>
    <w:p>
      <w:pPr>
        <w:pStyle w:val="ListParagraph"/>
        <w:numPr>
          <w:ilvl w:val="0"/>
          <w:numId w:val="1"/>
        </w:numPr>
      </w:pPr>
      <w:r>
        <w:t xml:space="preserve">Ensure analytics configurations respect user privacy preferences (DNT, GPC)</w:t>
      </w:r>
    </w:p>
    <w:p>
      <w:pPr>
        <w:pStyle w:val="Heading4"/>
      </w:pPr>
      <w:r>
        <w:t>Authentication and Identity</w:t>
      </w:r>
    </w:p>
    <w:p>
      <w:pPr>
        <w:pStyle w:val="ListParagraph"/>
        <w:numPr>
          <w:ilvl w:val="0"/>
          <w:numId w:val="1"/>
        </w:numPr>
      </w:pPr>
      <w:r>
        <w:t xml:space="preserve">Implement industry-standard authentication practices (MFA, secure password hashing)</w:t>
      </w:r>
    </w:p>
    <w:p>
      <w:pPr>
        <w:pStyle w:val="ListParagraph"/>
        <w:numPr>
          <w:ilvl w:val="0"/>
          <w:numId w:val="1"/>
        </w:numPr>
      </w:pPr>
      <w:r>
        <w:t xml:space="preserve">Review access control policies quarterly</w:t>
      </w:r>
    </w:p>
    <w:p>
      <w:pPr>
        <w:pStyle w:val="ListParagraph"/>
        <w:numPr>
          <w:ilvl w:val="0"/>
          <w:numId w:val="1"/>
        </w:numPr>
      </w:pPr>
      <w:r>
        <w:t xml:space="preserve">Conduct access reviews for privileged accounts monthly</w:t>
      </w:r>
    </w:p>
    <w:p>
      <w:pPr>
        <w:pStyle w:val="ListParagraph"/>
        <w:numPr>
          <w:ilvl w:val="0"/>
          <w:numId w:val="1"/>
        </w:numPr>
      </w:pPr>
      <w:r>
        <w:t xml:space="preserve">Maintain audit logs for all authentication events</w:t>
      </w:r>
    </w:p>
    <w:p>
      <w:pPr>
        <w:pStyle w:val="Heading2"/>
      </w:pPr>
      <w:r>
        <w:t>5. Regulatory Compliance</w:t>
      </w:r>
    </w:p>
    <w:p>
      <w:r>
        <w:t xml:space="preserve">Management commits to compliance with the following regulations and frameworks:</w:t>
      </w:r>
    </w:p>
    <w:p>
      <w:r>
        <w:rPr>
          <w:sz w:val="20"/>
        </w:rPr>
        <w:t xml:space="preserve">Regulation / Framework  |  Applicability  |  Commitment</w:t>
      </w:r>
    </w:p>
    <w:p>
      <w:r>
        <w:rPr>
          <w:sz w:val="20"/>
        </w:rPr>
        <w:t xml:space="preserve">**GDPR** (EU)  |  Personal data of EU residents  |  Full compliance with all articles</w:t>
      </w:r>
    </w:p>
    <w:p>
      <w:r>
        <w:rPr>
          <w:sz w:val="20"/>
        </w:rPr>
        <w:t xml:space="preserve">**CCPA/CPRA** (California)  |  Personal information of CA consumers  |  Full compliance with consumer rights</w:t>
      </w:r>
    </w:p>
    <w:p>
      <w:r>
        <w:rPr>
          <w:sz w:val="20"/>
        </w:rPr>
        <w:t xml:space="preserve">**EU AI Act**  |  AI systems used in the application  |  Risk assessment, disclosure, human oversight</w:t>
      </w:r>
    </w:p>
    <w:p>
      <w:r>
        <w:rPr>
          <w:sz w:val="20"/>
        </w:rPr>
        <w:t xml:space="preserve">**PCI DSS**  |  Payment card data processing  |  Maintain appropriate SAQ level</w:t>
      </w:r>
    </w:p>
    <w:p>
      <w:r>
        <w:rPr>
          <w:sz w:val="20"/>
        </w:rPr>
        <w:t xml:space="preserve">**ISO 27001**  |  Information security management  |  Alignment with Annex A controls</w:t>
      </w:r>
    </w:p>
    <w:p>
      <w:r>
        <w:rPr>
          <w:sz w:val="20"/>
        </w:rPr>
        <w:t xml:space="preserve">**SOC 2**  |  Service organization controls  |  Maintain Trust Service Criteria</w:t>
      </w:r>
    </w:p>
    <w:p>
      <w:pPr>
        <w:pStyle w:val="Heading2"/>
      </w:pPr>
      <w:r>
        <w:t>6. Breach Response Commitment</w:t>
      </w:r>
    </w:p>
    <w:p>
      <w:r>
        <w:t xml:space="preserve">In the event of a personal data breach, management commits to:</w:t>
      </w:r>
    </w:p>
    <w:p>
      <w:pPr>
        <w:pStyle w:val="ListParagraph"/>
        <w:numPr>
          <w:ilvl w:val="0"/>
          <w:numId w:val="2"/>
        </w:numPr>
      </w:pPr>
      <w:r>
        <w:t xml:space="preserve">**72-hour notification** to the relevant supervisory authority (GDPR Art. 33)</w:t>
      </w:r>
    </w:p>
    <w:p>
      <w:pPr>
        <w:pStyle w:val="ListParagraph"/>
        <w:numPr>
          <w:ilvl w:val="0"/>
          <w:numId w:val="2"/>
        </w:numPr>
      </w:pPr>
      <w:r>
        <w:t xml:space="preserve">**Undue delay notification** to affected data subjects when the breach poses a high risk (GDPR Art. 34)</w:t>
      </w:r>
    </w:p>
    <w:p>
      <w:pPr>
        <w:pStyle w:val="ListParagraph"/>
        <w:numPr>
          <w:ilvl w:val="0"/>
          <w:numId w:val="2"/>
        </w:numPr>
      </w:pPr>
      <w:r>
        <w:t xml:space="preserve">**Full cooperation** with supervisory authorities during investigations</w:t>
      </w:r>
    </w:p>
    <w:p>
      <w:pPr>
        <w:pStyle w:val="ListParagraph"/>
        <w:numPr>
          <w:ilvl w:val="0"/>
          <w:numId w:val="2"/>
        </w:numPr>
      </w:pPr>
      <w:r>
        <w:t xml:space="preserve">**Post-incident review** within 14 days of any security incident</w:t>
      </w:r>
    </w:p>
    <w:p>
      <w:pPr>
        <w:pStyle w:val="ListParagraph"/>
        <w:numPr>
          <w:ilvl w:val="0"/>
          <w:numId w:val="2"/>
        </w:numPr>
      </w:pPr>
      <w:r>
        <w:t xml:space="preserve">**Remediation** of root causes and implementation of preventive measures</w:t>
      </w:r>
    </w:p>
    <w:p>
      <w:pPr>
        <w:pStyle w:val="ListParagraph"/>
        <w:numPr>
          <w:ilvl w:val="0"/>
          <w:numId w:val="2"/>
        </w:numPr>
      </w:pPr>
      <w:r>
        <w:t xml:space="preserve">**Transparent communication** with affected parties throughout the incident lifecycle</w:t>
      </w:r>
    </w:p>
    <w:p>
      <w:pPr>
        <w:pStyle w:val="Heading2"/>
      </w:pPr>
      <w:r>
        <w:t>7. Continuous Improvement</w:t>
      </w:r>
    </w:p>
    <w:p>
      <w:r>
        <w:t xml:space="preserve">Management commits to:</w:t>
      </w:r>
    </w:p>
    <w:p>
      <w:pPr>
        <w:pStyle w:val="ListParagraph"/>
        <w:numPr>
          <w:ilvl w:val="0"/>
          <w:numId w:val="1"/>
        </w:numPr>
      </w:pPr>
      <w:r>
        <w:t xml:space="preserve">**Annual compliance audits** (internal or external)</w:t>
      </w:r>
    </w:p>
    <w:p>
      <w:pPr>
        <w:pStyle w:val="ListParagraph"/>
        <w:numPr>
          <w:ilvl w:val="0"/>
          <w:numId w:val="1"/>
        </w:numPr>
      </w:pPr>
      <w:r>
        <w:t xml:space="preserve">**Quarterly compliance reviews** of policies and procedures</w:t>
      </w:r>
    </w:p>
    <w:p>
      <w:pPr>
        <w:pStyle w:val="ListParagraph"/>
        <w:numPr>
          <w:ilvl w:val="0"/>
          <w:numId w:val="1"/>
        </w:numPr>
      </w:pPr>
      <w:r>
        <w:t xml:space="preserve">**Prompt remediation** of identified compliance gaps</w:t>
      </w:r>
    </w:p>
    <w:p>
      <w:pPr>
        <w:pStyle w:val="ListParagraph"/>
        <w:numPr>
          <w:ilvl w:val="0"/>
          <w:numId w:val="1"/>
        </w:numPr>
      </w:pPr>
      <w:r>
        <w:t xml:space="preserve">**Tracking regulatory changes** and updating practices accordingly</w:t>
      </w:r>
    </w:p>
    <w:p>
      <w:pPr>
        <w:pStyle w:val="ListParagraph"/>
        <w:numPr>
          <w:ilvl w:val="0"/>
          <w:numId w:val="1"/>
        </w:numPr>
      </w:pPr>
      <w:r>
        <w:t xml:space="preserve">**Benchmarking** against industry best practices</w:t>
      </w:r>
    </w:p>
    <w:p>
      <w:pPr>
        <w:pStyle w:val="ListParagraph"/>
        <w:numPr>
          <w:ilvl w:val="0"/>
          <w:numId w:val="1"/>
        </w:numPr>
      </w:pPr>
      <w:r>
        <w:t xml:space="preserve">**Incorporating lessons learned** from incidents, audits, and industry events</w:t>
      </w:r>
    </w:p>
    <w:p>
      <w:pPr>
        <w:pStyle w:val="Heading2"/>
      </w:pPr>
      <w:r>
        <w:t>8. Accountability</w:t>
      </w:r>
    </w:p>
    <w:p>
      <w:r>
        <w:rPr>
          <w:sz w:val="20"/>
        </w:rPr>
        <w:t xml:space="preserve">Role  |  Responsibilities</w:t>
      </w:r>
    </w:p>
    <w:p>
      <w:r>
        <w:rPr>
          <w:sz w:val="20"/>
        </w:rPr>
        <w:t xml:space="preserve">**CEO**  |  Overall accountability for compliance; approves policies, budget, and risk appetite</w:t>
      </w:r>
    </w:p>
    <w:p>
      <w:r>
        <w:rPr>
          <w:sz w:val="20"/>
        </w:rPr>
        <w:t xml:space="preserve">**CTO**  |  Technical implementation of security controls; infrastructure and application security</w:t>
      </w:r>
    </w:p>
    <w:p>
      <w:r>
        <w:rPr>
          <w:sz w:val="20"/>
        </w:rPr>
        <w:t xml:space="preserve">**DPO**  |  Monitoring compliance with data protection laws; advising on obligations; point of contact for supervisory authorities</w:t>
      </w:r>
    </w:p>
    <w:p>
      <w:r>
        <w:rPr>
          <w:sz w:val="20"/>
        </w:rPr>
        <w:t xml:space="preserve">**Engineering Leads**  |  Implementing security-by-design and privacy-by-design in development processes</w:t>
      </w:r>
    </w:p>
    <w:p>
      <w:r>
        <w:rPr>
          <w:sz w:val="20"/>
        </w:rPr>
        <w:t xml:space="preserve">**All Employees**  |  Following security policies; reporting incidents; completing training</w:t>
      </w:r>
    </w:p>
    <w:p>
      <w:pPr>
        <w:pStyle w:val="Heading2"/>
      </w:pPr>
      <w:r>
        <w:t>9. Signatures</w:t>
      </w:r>
    </w:p>
    <w:p>
      <w:r>
        <w:t xml:space="preserve">By signing below, the undersigned executives acknowledge their understanding of and commitment to the obligations described in this document.</w:t>
      </w:r>
    </w:p>
    <w:p>
      <w:pPr>
        <w:pStyle w:val="Heading3"/>
      </w:pPr>
      <w:r>
        <w:t>Chief Executive Officer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**Name**  |  _________________________</w:t>
      </w:r>
    </w:p>
    <w:p>
      <w:r>
        <w:rPr>
          <w:sz w:val="20"/>
        </w:rPr>
        <w:t xml:space="preserve">**Title**  |  Chief Executive Officer</w:t>
      </w:r>
    </w:p>
    <w:p>
      <w:r>
        <w:rPr>
          <w:sz w:val="20"/>
        </w:rPr>
        <w:t xml:space="preserve">**Date**  |  2026-03-19</w:t>
      </w:r>
    </w:p>
    <w:p>
      <w:r>
        <w:rPr>
          <w:sz w:val="20"/>
        </w:rPr>
        <w:t xml:space="preserve">**Signature**  |  _________________________</w:t>
      </w:r>
    </w:p>
    <w:p>
      <w:pPr>
        <w:pStyle w:val="Heading3"/>
      </w:pPr>
      <w:r>
        <w:t>Chief Technology Officer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**Name**  |  _________________________</w:t>
      </w:r>
    </w:p>
    <w:p>
      <w:r>
        <w:rPr>
          <w:sz w:val="20"/>
        </w:rPr>
        <w:t xml:space="preserve">**Title**  |  Chief Technology Officer</w:t>
      </w:r>
    </w:p>
    <w:p>
      <w:r>
        <w:rPr>
          <w:sz w:val="20"/>
        </w:rPr>
        <w:t xml:space="preserve">**Date**  |  2026-03-19</w:t>
      </w:r>
    </w:p>
    <w:p>
      <w:r>
        <w:rPr>
          <w:sz w:val="20"/>
        </w:rPr>
        <w:t xml:space="preserve">**Signature**  |  _________________________</w:t>
      </w:r>
    </w:p>
    <w:p>
      <w:pPr>
        <w:pStyle w:val="Heading3"/>
      </w:pPr>
      <w:r>
        <w:t>Data Protection Officer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**Name**  |  Jane Mueller</w:t>
      </w:r>
    </w:p>
    <w:p>
      <w:r>
        <w:rPr>
          <w:sz w:val="20"/>
        </w:rPr>
        <w:t xml:space="preserve">**Title**  |  Data Protection Officer</w:t>
      </w:r>
    </w:p>
    <w:p>
      <w:r>
        <w:rPr>
          <w:sz w:val="20"/>
        </w:rPr>
        <w:t xml:space="preserve">**Email**  |  dpo@acme-saas.com</w:t>
      </w:r>
    </w:p>
    <w:p>
      <w:r>
        <w:rPr>
          <w:sz w:val="20"/>
        </w:rPr>
        <w:t xml:space="preserve">**Date**  |  2026-03-19</w:t>
      </w:r>
    </w:p>
    <w:p>
      <w:r>
        <w:rPr>
          <w:sz w:val="20"/>
        </w:rPr>
        <w:t xml:space="preserve">**Signature**  |  _________________________</w:t>
      </w:r>
    </w:p>
    <w:p>
      <w:pPr>
        <w:pStyle w:val="Heading2"/>
      </w:pPr>
      <w:r>
        <w:t>10. Review Schedule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**Effective Date**  |  2026-03-19</w:t>
      </w:r>
    </w:p>
    <w:p>
      <w:r>
        <w:rPr>
          <w:sz w:val="20"/>
        </w:rPr>
        <w:t xml:space="preserve">**Next Review Date**  |  2027-03-19</w:t>
      </w:r>
    </w:p>
    <w:p>
      <w:r>
        <w:rPr>
          <w:sz w:val="20"/>
        </w:rPr>
        <w:t xml:space="preserve">**Review Frequency**  |  Annually, or upon material changes to services or regulatory requirements</w:t>
      </w:r>
    </w:p>
    <w:p>
      <w:r>
        <w:rPr>
          <w:sz w:val="20"/>
        </w:rPr>
        <w:t xml:space="preserve">**Document Owner**  |  Acme Inc</w:t>
      </w:r>
    </w:p>
    <w:p>
      <w:pPr>
        <w:pStyle w:val="Heading2"/>
      </w:pPr>
      <w:r>
        <w:t>11. Contact</w:t>
      </w:r>
    </w:p>
    <w:p>
      <w:r>
        <w:t xml:space="preserve">For questions about this commitment or our compliance program:</w:t>
      </w:r>
    </w:p>
    <w:p>
      <w:pPr>
        <w:pStyle w:val="ListParagraph"/>
        <w:numPr>
          <w:ilvl w:val="0"/>
          <w:numId w:val="1"/>
        </w:numPr>
      </w:pPr>
      <w:r>
        <w:t xml:space="preserve">**Email:** legal@acme.com</w:t>
      </w:r>
    </w:p>
    <w:p>
      <w:pPr>
        <w:pStyle w:val="ListParagraph"/>
        <w:numPr>
          <w:ilvl w:val="0"/>
          <w:numId w:val="1"/>
        </w:numPr>
      </w:pPr>
      <w:r>
        <w:t xml:space="preserve">**DPO:** dpo@acme-saas.com</w:t>
      </w:r>
    </w:p>
    <w:p>
      <w:pPr>
        <w:pStyle w:val="ListParagraph"/>
        <w:numPr>
          <w:ilvl w:val="0"/>
          <w:numId w:val="1"/>
        </w:numPr>
      </w:pPr>
      <w:r>
        <w:t xml:space="preserve">**Website:** https://acme-saas.com</w:t>
      </w:r>
    </w:p>
    <w:p>
      <w:pPr>
        <w:pBdr>
          <w:bottom w:val="single" w:sz="6" w:space="1" w:color="999999"/>
        </w:pBdr>
      </w:pPr>
    </w:p>
    <w:p>
      <w:r>
        <w:t xml:space="preserve">This Compliance Oath was auto-generated by [Codepliant](https://github.com/joechensmartz/codepliant) based on automated code analysis. It is a template document and must be reviewed, customized, and signed by authorized executives before it constitutes a binding commitment. Organizations should engage legal counsel to ensure this document meets their specific regulatory obligations.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